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DC6F4" w14:textId="0919F98E" w:rsidR="00B90382" w:rsidRPr="00F26B94" w:rsidRDefault="00B90382" w:rsidP="00B90382">
      <w:pPr>
        <w:pStyle w:val="Paragrafoelenco"/>
        <w:widowControl w:val="0"/>
        <w:tabs>
          <w:tab w:val="left" w:pos="748"/>
        </w:tabs>
        <w:autoSpaceDE w:val="0"/>
        <w:autoSpaceDN w:val="0"/>
        <w:spacing w:before="91" w:line="240" w:lineRule="auto"/>
        <w:ind w:left="567"/>
        <w:contextualSpacing w:val="0"/>
        <w:jc w:val="both"/>
        <w:rPr>
          <w:bCs/>
          <w:i/>
          <w:iCs/>
          <w:szCs w:val="24"/>
        </w:rPr>
      </w:pPr>
      <w:r w:rsidRPr="00C04E57">
        <w:rPr>
          <w:rFonts w:cs="Times New Roman"/>
          <w:sz w:val="22"/>
        </w:rPr>
        <w:t xml:space="preserve">DICHIARAZIONI DI CUI ALLA NORMATIVA </w:t>
      </w:r>
      <w:r w:rsidR="004C6282" w:rsidRPr="00C04E57">
        <w:rPr>
          <w:rFonts w:cs="Times New Roman"/>
          <w:sz w:val="22"/>
        </w:rPr>
        <w:t>PNRR</w:t>
      </w:r>
      <w:r w:rsidRPr="00B90382">
        <w:rPr>
          <w:bCs/>
          <w:i/>
          <w:iCs/>
          <w:szCs w:val="24"/>
        </w:rPr>
        <w:t xml:space="preserve"> </w:t>
      </w:r>
      <w:r>
        <w:rPr>
          <w:bCs/>
          <w:i/>
          <w:iCs/>
          <w:szCs w:val="24"/>
        </w:rPr>
        <w:t>“</w:t>
      </w:r>
      <w:r w:rsidRPr="00F26B94">
        <w:rPr>
          <w:bCs/>
          <w:i/>
          <w:iCs/>
          <w:szCs w:val="24"/>
        </w:rPr>
        <w:t>DICHIARAZIONE IN MATERIA DI IMPRENDITORIA GIOVANILE, INCLUSIONE LAVORATIVA DELLE PERSONE DISABILI, PARITA’ DI GENERE, ASSUNZIONI DI GIOVANI CON ETA’ INFERIORE A 36 ANNI E DONNE - ART. 47 DEL D.L. 77/2021</w:t>
      </w:r>
      <w:r>
        <w:rPr>
          <w:bCs/>
          <w:i/>
          <w:iCs/>
          <w:szCs w:val="24"/>
        </w:rPr>
        <w:t>”</w:t>
      </w:r>
      <w:r w:rsidRPr="00F26B94">
        <w:rPr>
          <w:bCs/>
          <w:i/>
          <w:iCs/>
          <w:szCs w:val="24"/>
        </w:rPr>
        <w:t>;</w:t>
      </w:r>
    </w:p>
    <w:p w14:paraId="68EDDC1A" w14:textId="2BE66A50" w:rsidR="004F24FC" w:rsidRPr="00C04E57" w:rsidRDefault="004F24FC" w:rsidP="006C3B3E">
      <w:pPr>
        <w:jc w:val="center"/>
        <w:rPr>
          <w:rFonts w:cs="Times New Roman"/>
          <w:sz w:val="22"/>
        </w:rPr>
      </w:pPr>
    </w:p>
    <w:p w14:paraId="1285CAC4" w14:textId="77777777" w:rsidR="000F409D" w:rsidRPr="00C67733" w:rsidRDefault="000F409D" w:rsidP="000F409D">
      <w:pPr>
        <w:pStyle w:val="Corpotesto"/>
        <w:spacing w:line="360" w:lineRule="auto"/>
        <w:jc w:val="both"/>
        <w:rPr>
          <w:szCs w:val="24"/>
        </w:rPr>
      </w:pPr>
    </w:p>
    <w:p w14:paraId="696F640E" w14:textId="77777777" w:rsidR="004C6282" w:rsidRPr="00C04E57" w:rsidRDefault="004C6282" w:rsidP="00C04E57">
      <w:pPr>
        <w:jc w:val="both"/>
        <w:rPr>
          <w:rFonts w:cs="Times New Roman"/>
          <w:sz w:val="22"/>
        </w:rPr>
      </w:pPr>
    </w:p>
    <w:p w14:paraId="60397E1E" w14:textId="251CE1FC" w:rsidR="000F409D" w:rsidRDefault="004C6282" w:rsidP="00E10DAA">
      <w:pPr>
        <w:spacing w:line="240" w:lineRule="auto"/>
        <w:jc w:val="both"/>
        <w:rPr>
          <w:rFonts w:cs="Times New Roman"/>
          <w:sz w:val="22"/>
        </w:rPr>
      </w:pPr>
      <w:r w:rsidRPr="00C04E57">
        <w:rPr>
          <w:rFonts w:cs="Times New Roman"/>
          <w:sz w:val="22"/>
        </w:rPr>
        <w:t>AFFIDAMENTO D</w:t>
      </w:r>
      <w:r w:rsidR="000F409D">
        <w:rPr>
          <w:rFonts w:cs="Times New Roman"/>
          <w:sz w:val="22"/>
        </w:rPr>
        <w:t>I</w:t>
      </w:r>
      <w:r w:rsidRPr="00C04E57">
        <w:rPr>
          <w:rFonts w:cs="Times New Roman"/>
          <w:sz w:val="22"/>
        </w:rPr>
        <w:t xml:space="preserve"> CONTRATTI PUBBLICI FINANZIATI CON FONDI A VALERE SU RISORSE PNRR </w:t>
      </w:r>
      <w:r w:rsidR="00865556" w:rsidRPr="00F52A56">
        <w:t>AFFIDAMENTO IN APPALTO  DEI SERVIZI INERENTI LA GESTIONE  DELL’INVESTIMENTO 1.1.1. “SOSTEGNO ALLE CAPACITÀ GENITORIALI E PREVENZIONE DELLA VULNERABILITÀ DELLE FAMIGLIE E DEI BAMBINI” (PROGRAMMA DI INTERVENTO PER PREVENIRE L’ISTITUZIONALIZZAZIONE – P.I.P.P.I.)  PREVISTO DALLA MISSIONE 5  “INCLUSIONE E COESIONE”  – COMPONENTE 2 DEL PIANO NAZIONALE DI RIPRESA E RESILIENZA (PNRR).</w:t>
      </w:r>
      <w:r w:rsidR="00865556" w:rsidRPr="000F409D">
        <w:rPr>
          <w:rFonts w:cs="Times New Roman"/>
          <w:sz w:val="22"/>
        </w:rPr>
        <w:t xml:space="preserve"> </w:t>
      </w:r>
      <w:r w:rsidR="000F409D" w:rsidRPr="000F409D">
        <w:rPr>
          <w:rFonts w:cs="Times New Roman"/>
          <w:sz w:val="22"/>
        </w:rPr>
        <w:t xml:space="preserve">(CODICE CUP </w:t>
      </w:r>
      <w:r w:rsidR="00865556" w:rsidRPr="00F52A56">
        <w:t>E64H22000330006</w:t>
      </w:r>
      <w:r w:rsidR="00E10DAA">
        <w:rPr>
          <w:rFonts w:cs="Times New Roman"/>
          <w:sz w:val="22"/>
        </w:rPr>
        <w:t xml:space="preserve"> CIG </w:t>
      </w:r>
      <w:r w:rsidR="00E10DAA">
        <w:rPr>
          <w:rFonts w:cs="Times New Roman"/>
        </w:rPr>
        <w:t>B187C60547)</w:t>
      </w:r>
    </w:p>
    <w:p w14:paraId="37B0951E" w14:textId="2778CC11" w:rsidR="004C6282" w:rsidRPr="00C04E57" w:rsidRDefault="004C6282" w:rsidP="00C04E57">
      <w:pPr>
        <w:jc w:val="both"/>
        <w:rPr>
          <w:rFonts w:cs="Times New Roman"/>
          <w:sz w:val="22"/>
        </w:rPr>
      </w:pPr>
      <w:r w:rsidRPr="00C04E57">
        <w:rPr>
          <w:rFonts w:cs="Times New Roman"/>
          <w:sz w:val="22"/>
        </w:rPr>
        <w:t>Il sottoscritto ……………………………………………………</w:t>
      </w:r>
      <w:r w:rsidR="00C04E57">
        <w:rPr>
          <w:rFonts w:cs="Times New Roman"/>
          <w:sz w:val="22"/>
        </w:rPr>
        <w:t>………..</w:t>
      </w:r>
      <w:r w:rsidRPr="00C04E57">
        <w:rPr>
          <w:rFonts w:cs="Times New Roman"/>
          <w:sz w:val="22"/>
        </w:rPr>
        <w:t>……………………………………</w:t>
      </w:r>
    </w:p>
    <w:p w14:paraId="719F3014" w14:textId="63515998" w:rsidR="004C6282" w:rsidRPr="00C04E57" w:rsidRDefault="004C6282" w:rsidP="00C04E57">
      <w:pPr>
        <w:jc w:val="both"/>
        <w:rPr>
          <w:rFonts w:cs="Times New Roman"/>
          <w:sz w:val="22"/>
        </w:rPr>
      </w:pPr>
      <w:r w:rsidRPr="00C04E57">
        <w:rPr>
          <w:rFonts w:cs="Times New Roman"/>
          <w:sz w:val="22"/>
        </w:rPr>
        <w:t>Nato a ………………………………</w:t>
      </w:r>
      <w:r w:rsidR="00C04E57">
        <w:rPr>
          <w:rFonts w:cs="Times New Roman"/>
          <w:sz w:val="22"/>
        </w:rPr>
        <w:t>……….</w:t>
      </w:r>
      <w:r w:rsidRPr="00C04E57">
        <w:rPr>
          <w:rFonts w:cs="Times New Roman"/>
          <w:sz w:val="22"/>
        </w:rPr>
        <w:t>……. (prov ……) il …………………………………………..</w:t>
      </w:r>
    </w:p>
    <w:p w14:paraId="3FFAD55E" w14:textId="25E145BF" w:rsidR="004C6282" w:rsidRPr="00C04E57" w:rsidRDefault="004C6282" w:rsidP="00C04E57">
      <w:pPr>
        <w:jc w:val="both"/>
        <w:rPr>
          <w:rFonts w:cs="Times New Roman"/>
          <w:sz w:val="22"/>
        </w:rPr>
      </w:pPr>
      <w:r w:rsidRPr="00C04E57">
        <w:rPr>
          <w:rFonts w:cs="Times New Roman"/>
          <w:sz w:val="22"/>
        </w:rPr>
        <w:t>Codice fiscale ………………………………</w:t>
      </w:r>
      <w:r w:rsidR="00C04E57">
        <w:rPr>
          <w:rFonts w:cs="Times New Roman"/>
          <w:sz w:val="22"/>
        </w:rPr>
        <w:t>……….</w:t>
      </w:r>
      <w:r w:rsidRPr="00C04E57">
        <w:rPr>
          <w:rFonts w:cs="Times New Roman"/>
          <w:sz w:val="22"/>
        </w:rPr>
        <w:t>…………………………………………………………</w:t>
      </w:r>
    </w:p>
    <w:p w14:paraId="66972468" w14:textId="6A14E51E" w:rsidR="004C6282" w:rsidRPr="00C04E57" w:rsidRDefault="004C6282" w:rsidP="00C04E57">
      <w:pPr>
        <w:jc w:val="both"/>
        <w:rPr>
          <w:rFonts w:cs="Times New Roman"/>
          <w:sz w:val="22"/>
        </w:rPr>
      </w:pPr>
      <w:r w:rsidRPr="00C04E57">
        <w:rPr>
          <w:rFonts w:cs="Times New Roman"/>
          <w:sz w:val="22"/>
        </w:rPr>
        <w:t>In qualità di …………………………………………</w:t>
      </w:r>
      <w:r w:rsidR="00C04E57">
        <w:rPr>
          <w:rFonts w:cs="Times New Roman"/>
          <w:sz w:val="22"/>
        </w:rPr>
        <w:t>……….</w:t>
      </w:r>
      <w:r w:rsidRPr="00C04E57">
        <w:rPr>
          <w:rFonts w:cs="Times New Roman"/>
          <w:sz w:val="22"/>
        </w:rPr>
        <w:t>…………………………………………………</w:t>
      </w:r>
    </w:p>
    <w:p w14:paraId="375CC792" w14:textId="406E68A8" w:rsidR="004C6282" w:rsidRPr="00C04E57" w:rsidRDefault="004C6282" w:rsidP="00C04E57">
      <w:pPr>
        <w:jc w:val="both"/>
        <w:rPr>
          <w:rFonts w:cs="Times New Roman"/>
          <w:sz w:val="22"/>
        </w:rPr>
      </w:pPr>
      <w:r w:rsidRPr="00C04E57">
        <w:rPr>
          <w:rFonts w:cs="Times New Roman"/>
          <w:sz w:val="22"/>
        </w:rPr>
        <w:t>Dell’impresa …………………………………………………</w:t>
      </w:r>
      <w:r w:rsidR="00C04E57">
        <w:rPr>
          <w:rFonts w:cs="Times New Roman"/>
          <w:sz w:val="22"/>
        </w:rPr>
        <w:t>……….</w:t>
      </w:r>
      <w:r w:rsidRPr="00C04E57">
        <w:rPr>
          <w:rFonts w:cs="Times New Roman"/>
          <w:sz w:val="22"/>
        </w:rPr>
        <w:t>………………………………………..</w:t>
      </w:r>
    </w:p>
    <w:p w14:paraId="7791349D" w14:textId="75E50BD1" w:rsidR="004C6282" w:rsidRPr="00C04E57" w:rsidRDefault="004C6282" w:rsidP="00C04E57">
      <w:pPr>
        <w:jc w:val="both"/>
        <w:rPr>
          <w:rFonts w:cs="Times New Roman"/>
          <w:sz w:val="22"/>
        </w:rPr>
      </w:pPr>
      <w:r w:rsidRPr="00C04E57">
        <w:rPr>
          <w:rFonts w:cs="Times New Roman"/>
          <w:sz w:val="22"/>
        </w:rPr>
        <w:t>Con sede in ……………………………</w:t>
      </w:r>
      <w:r w:rsidR="00C04E57">
        <w:rPr>
          <w:rFonts w:cs="Times New Roman"/>
          <w:sz w:val="22"/>
        </w:rPr>
        <w:t>………</w:t>
      </w:r>
      <w:r w:rsidRPr="00C04E57">
        <w:rPr>
          <w:rFonts w:cs="Times New Roman"/>
          <w:sz w:val="22"/>
        </w:rPr>
        <w:t>…………………………….. cap …………………………...</w:t>
      </w:r>
    </w:p>
    <w:p w14:paraId="081C1968" w14:textId="0EC8CFE4" w:rsidR="004C6282" w:rsidRPr="00C04E57" w:rsidRDefault="004C6282" w:rsidP="00C04E57">
      <w:pPr>
        <w:jc w:val="both"/>
        <w:rPr>
          <w:rFonts w:cs="Times New Roman"/>
          <w:sz w:val="22"/>
        </w:rPr>
      </w:pPr>
      <w:r w:rsidRPr="00C04E57">
        <w:rPr>
          <w:rFonts w:cs="Times New Roman"/>
          <w:sz w:val="22"/>
        </w:rPr>
        <w:t>In via …………………………………………</w:t>
      </w:r>
      <w:r w:rsidR="00C04E57">
        <w:rPr>
          <w:rFonts w:cs="Times New Roman"/>
          <w:sz w:val="22"/>
        </w:rPr>
        <w:t>………</w:t>
      </w:r>
      <w:r w:rsidRPr="00C04E57">
        <w:rPr>
          <w:rFonts w:cs="Times New Roman"/>
          <w:sz w:val="22"/>
        </w:rPr>
        <w:t>…………………….. n ………………………………</w:t>
      </w:r>
    </w:p>
    <w:p w14:paraId="55A3D897" w14:textId="3CA7414D" w:rsidR="004C6282" w:rsidRPr="00C04E57" w:rsidRDefault="004C6282" w:rsidP="00C04E57">
      <w:pPr>
        <w:jc w:val="both"/>
        <w:rPr>
          <w:rFonts w:cs="Times New Roman"/>
          <w:sz w:val="22"/>
        </w:rPr>
      </w:pPr>
      <w:r w:rsidRPr="00C04E57">
        <w:rPr>
          <w:rFonts w:cs="Times New Roman"/>
          <w:sz w:val="22"/>
        </w:rPr>
        <w:t>Partita iva ……………………………………………</w:t>
      </w:r>
      <w:r w:rsidR="00C04E57">
        <w:rPr>
          <w:rFonts w:cs="Times New Roman"/>
          <w:sz w:val="22"/>
        </w:rPr>
        <w:t>………</w:t>
      </w:r>
      <w:r w:rsidRPr="00C04E57">
        <w:rPr>
          <w:rFonts w:cs="Times New Roman"/>
          <w:sz w:val="22"/>
        </w:rPr>
        <w:t>………………………………………………..</w:t>
      </w:r>
    </w:p>
    <w:p w14:paraId="7B2FAD46" w14:textId="109D08D0" w:rsidR="004C6282" w:rsidRPr="00C04E57" w:rsidRDefault="004C6282" w:rsidP="00C04E57">
      <w:pPr>
        <w:jc w:val="both"/>
        <w:rPr>
          <w:rFonts w:cs="Times New Roman"/>
          <w:sz w:val="22"/>
        </w:rPr>
      </w:pPr>
      <w:r w:rsidRPr="00C04E57">
        <w:rPr>
          <w:rFonts w:cs="Times New Roman"/>
          <w:sz w:val="22"/>
        </w:rPr>
        <w:t>Indirizzo di posta elettronica certificata ……………………</w:t>
      </w:r>
      <w:r w:rsidR="00C04E57">
        <w:rPr>
          <w:rFonts w:cs="Times New Roman"/>
          <w:sz w:val="22"/>
        </w:rPr>
        <w:t>………</w:t>
      </w:r>
      <w:r w:rsidRPr="00C04E57">
        <w:rPr>
          <w:rFonts w:cs="Times New Roman"/>
          <w:sz w:val="22"/>
        </w:rPr>
        <w:t>…………………………………………</w:t>
      </w:r>
    </w:p>
    <w:p w14:paraId="146E92F2" w14:textId="77777777" w:rsidR="00C04E57" w:rsidRDefault="004C6282" w:rsidP="00C04E57">
      <w:pPr>
        <w:jc w:val="both"/>
        <w:rPr>
          <w:rFonts w:cs="Times New Roman"/>
          <w:sz w:val="22"/>
        </w:rPr>
      </w:pPr>
      <w:r w:rsidRPr="00C04E57">
        <w:rPr>
          <w:rFonts w:cs="Times New Roman"/>
          <w:sz w:val="22"/>
        </w:rPr>
        <w:t xml:space="preserve">Ai sensi degli artt. 46 e 47 del D.P.R. 445/2020, ai fini della sottoscrizione del contratto di cui alla procedura in oggetto, consapevole della responsabilità penale nel caso di dichiarazioni mendaci </w:t>
      </w:r>
    </w:p>
    <w:p w14:paraId="1FAFC67F" w14:textId="235BD106" w:rsidR="004C6282" w:rsidRPr="00C04E57" w:rsidRDefault="004C6282" w:rsidP="00C04E57">
      <w:pPr>
        <w:jc w:val="center"/>
        <w:rPr>
          <w:rFonts w:cs="Times New Roman"/>
          <w:sz w:val="22"/>
        </w:rPr>
      </w:pPr>
      <w:r w:rsidRPr="00C04E57">
        <w:rPr>
          <w:rFonts w:cs="Times New Roman"/>
          <w:sz w:val="22"/>
        </w:rPr>
        <w:t>DICHIARA</w:t>
      </w:r>
    </w:p>
    <w:p w14:paraId="256D5131" w14:textId="38D2A68A" w:rsidR="004C6282" w:rsidRPr="00C04E57" w:rsidRDefault="004C6282" w:rsidP="00C04E57">
      <w:pPr>
        <w:spacing w:line="240" w:lineRule="auto"/>
        <w:jc w:val="both"/>
        <w:rPr>
          <w:rFonts w:cs="Times New Roman"/>
          <w:i/>
          <w:iCs/>
          <w:sz w:val="16"/>
          <w:szCs w:val="16"/>
        </w:rPr>
      </w:pPr>
      <w:r w:rsidRPr="00C04E57">
        <w:rPr>
          <w:rFonts w:cs="Times New Roman"/>
          <w:i/>
          <w:iCs/>
          <w:sz w:val="16"/>
          <w:szCs w:val="16"/>
        </w:rPr>
        <w:t>(flaggare le caselle relative alle dichiarazioni da rendere in relazione al numero di dipendenti dichiarati o, alternativamente, cancellare o barrare quelle non pertinenti)</w:t>
      </w:r>
    </w:p>
    <w:p w14:paraId="674E6410" w14:textId="6192F727" w:rsidR="004C6282" w:rsidRPr="00C04E57" w:rsidRDefault="004C6282" w:rsidP="00C04E57">
      <w:pPr>
        <w:pStyle w:val="Paragrafoelenco"/>
        <w:numPr>
          <w:ilvl w:val="0"/>
          <w:numId w:val="6"/>
        </w:numPr>
        <w:jc w:val="both"/>
        <w:rPr>
          <w:rFonts w:cs="Times New Roman"/>
          <w:bCs/>
          <w:i/>
          <w:iCs/>
          <w:sz w:val="22"/>
        </w:rPr>
      </w:pPr>
      <w:r w:rsidRPr="00C04E57">
        <w:rPr>
          <w:rFonts w:cs="Times New Roman"/>
          <w:bCs/>
          <w:i/>
          <w:iCs/>
          <w:sz w:val="22"/>
        </w:rPr>
        <w:t xml:space="preserve">(eventuale) (per gli operatori economici che occupano un numero di dipendenti </w:t>
      </w:r>
      <w:r w:rsidRPr="00C04E57">
        <w:rPr>
          <w:rFonts w:cs="Times New Roman"/>
          <w:bCs/>
          <w:i/>
          <w:iCs/>
          <w:sz w:val="22"/>
          <w:u w:val="single"/>
        </w:rPr>
        <w:t>oltre cinquanta</w:t>
      </w:r>
      <w:r w:rsidRPr="00C04E57">
        <w:rPr>
          <w:rFonts w:cs="Times New Roman"/>
          <w:bCs/>
          <w:i/>
          <w:iCs/>
          <w:sz w:val="22"/>
        </w:rPr>
        <w:t xml:space="preserve">) </w:t>
      </w:r>
    </w:p>
    <w:p w14:paraId="206D6B67" w14:textId="20BE0D49" w:rsidR="004C6282" w:rsidRPr="00C04E57" w:rsidRDefault="004C6282" w:rsidP="00C04E57">
      <w:pPr>
        <w:pStyle w:val="Paragrafoelenco"/>
        <w:numPr>
          <w:ilvl w:val="0"/>
          <w:numId w:val="3"/>
        </w:numPr>
        <w:jc w:val="both"/>
        <w:rPr>
          <w:rFonts w:cs="Times New Roman"/>
          <w:sz w:val="22"/>
        </w:rPr>
      </w:pPr>
      <w:r w:rsidRPr="00C04E57">
        <w:rPr>
          <w:rFonts w:cs="Times New Roman"/>
          <w:sz w:val="22"/>
        </w:rPr>
        <w:t xml:space="preserve">di allegare copia dell’ultimo rapporto periodico sulla situazione del personale maschile e femminile redatto ai sensi dell’art. 46 del decreto legislativo 11 aprile 2006, n.198, con attestazione della sua conformità a quello trasmesso alle rappresentanze sindacali aziendali, alla consigliera e al consigliere regionale di parità, ovvero,  in caso di inosservanza dei termini previsti dall’articolo 46, comma 1 del </w:t>
      </w:r>
      <w:r w:rsidRPr="00C04E57">
        <w:rPr>
          <w:rFonts w:cs="Times New Roman"/>
          <w:sz w:val="22"/>
        </w:rPr>
        <w:lastRenderedPageBreak/>
        <w:t>predetto decreto legislativo n. 198/2006, con attestazione della sua contestuale trasmissione, alle rappresentanze sindacali aziendali, alla consigliera e al consigliere regionale di parità.</w:t>
      </w:r>
    </w:p>
    <w:p w14:paraId="79279FF4" w14:textId="77777777" w:rsidR="004C6282" w:rsidRPr="00C04E57" w:rsidRDefault="004C6282" w:rsidP="00C04E57">
      <w:pPr>
        <w:pStyle w:val="Paragrafoelenco"/>
        <w:numPr>
          <w:ilvl w:val="0"/>
          <w:numId w:val="6"/>
        </w:numPr>
        <w:jc w:val="both"/>
        <w:rPr>
          <w:rFonts w:cs="Times New Roman"/>
          <w:bCs/>
          <w:i/>
          <w:iCs/>
          <w:sz w:val="22"/>
          <w:u w:val="single"/>
        </w:rPr>
      </w:pPr>
      <w:r w:rsidRPr="00C04E57">
        <w:rPr>
          <w:rFonts w:cs="Times New Roman"/>
          <w:bCs/>
          <w:i/>
          <w:iCs/>
          <w:sz w:val="22"/>
          <w:u w:val="single"/>
        </w:rPr>
        <w:t>(eventuale) (per gli operatori economici che occupano un numero di dipendenti pari o superiore a 15 e non superiore a 50)</w:t>
      </w:r>
    </w:p>
    <w:p w14:paraId="10553F78" w14:textId="77777777" w:rsidR="00110898" w:rsidRPr="00C04E57" w:rsidRDefault="004C6282" w:rsidP="00C04E57">
      <w:pPr>
        <w:pStyle w:val="Paragrafoelenco"/>
        <w:numPr>
          <w:ilvl w:val="0"/>
          <w:numId w:val="3"/>
        </w:numPr>
        <w:jc w:val="both"/>
        <w:rPr>
          <w:rFonts w:cs="Times New Roman"/>
          <w:sz w:val="22"/>
        </w:rPr>
      </w:pPr>
      <w:r w:rsidRPr="00C04E57">
        <w:rPr>
          <w:rFonts w:cs="Times New Roman"/>
          <w:sz w:val="22"/>
        </w:rPr>
        <w:t xml:space="preserve">di impegnarsi  ai sensi dell'art. 47, comma 3,  D.L. 77/2021,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 </w:t>
      </w:r>
    </w:p>
    <w:p w14:paraId="6735B71E" w14:textId="77777777" w:rsidR="00110898" w:rsidRPr="00C04E57" w:rsidRDefault="00110898" w:rsidP="00C04E57">
      <w:pPr>
        <w:pStyle w:val="Paragrafoelenco"/>
        <w:numPr>
          <w:ilvl w:val="0"/>
          <w:numId w:val="6"/>
        </w:numPr>
        <w:jc w:val="both"/>
        <w:rPr>
          <w:rFonts w:cs="Times New Roman"/>
          <w:sz w:val="22"/>
        </w:rPr>
      </w:pPr>
      <w:r w:rsidRPr="00C04E57">
        <w:rPr>
          <w:rFonts w:cs="Times New Roman"/>
          <w:b/>
          <w:sz w:val="22"/>
        </w:rPr>
        <w:t>(</w:t>
      </w:r>
      <w:r w:rsidRPr="00C04E57">
        <w:rPr>
          <w:rFonts w:cs="Times New Roman"/>
          <w:bCs/>
          <w:i/>
          <w:iCs/>
          <w:sz w:val="22"/>
          <w:u w:val="single"/>
        </w:rPr>
        <w:t>eventuale) (per gli operatori economici che occupano un numero di dipendenti pari o superiore a 15 e non superiore a 50)</w:t>
      </w:r>
      <w:r w:rsidRPr="00C04E57">
        <w:rPr>
          <w:rFonts w:cs="Times New Roman"/>
          <w:sz w:val="22"/>
        </w:rPr>
        <w:t xml:space="preserve"> </w:t>
      </w:r>
    </w:p>
    <w:p w14:paraId="68FE01C1" w14:textId="640677FB" w:rsidR="00110898" w:rsidRPr="00C04E57" w:rsidRDefault="00110898" w:rsidP="00C04E57">
      <w:pPr>
        <w:pStyle w:val="Paragrafoelenco"/>
        <w:jc w:val="both"/>
        <w:rPr>
          <w:rFonts w:cs="Times New Roman"/>
          <w:sz w:val="22"/>
        </w:rPr>
      </w:pPr>
      <w:r w:rsidRPr="00C04E57">
        <w:rPr>
          <w:rFonts w:cs="Times New Roman"/>
          <w:sz w:val="22"/>
        </w:rPr>
        <w:t>di non essere incorso nell’interdizione automatica, nei dodici mesi precedenti il termine di presentazione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14:paraId="26875B91" w14:textId="77777777" w:rsidR="00110898" w:rsidRPr="00C04E57" w:rsidRDefault="00110898" w:rsidP="00C04E57">
      <w:pPr>
        <w:pStyle w:val="Paragrafoelenco"/>
        <w:numPr>
          <w:ilvl w:val="0"/>
          <w:numId w:val="6"/>
        </w:numPr>
        <w:jc w:val="both"/>
        <w:rPr>
          <w:rFonts w:cs="Times New Roman"/>
          <w:i/>
          <w:iCs/>
          <w:sz w:val="22"/>
        </w:rPr>
      </w:pPr>
      <w:r w:rsidRPr="00C04E57">
        <w:rPr>
          <w:rFonts w:cs="Times New Roman"/>
          <w:i/>
          <w:iCs/>
          <w:sz w:val="22"/>
        </w:rPr>
        <w:t xml:space="preserve">(eventuale) (per gli operatori economici che occupano un numero di dipendenti pari o superiore a 15 e non superiore a 50) </w:t>
      </w:r>
    </w:p>
    <w:p w14:paraId="0D484770" w14:textId="77777777" w:rsidR="00110898" w:rsidRPr="00C04E57" w:rsidRDefault="00110898" w:rsidP="00C04E57">
      <w:pPr>
        <w:pStyle w:val="Paragrafoelenco"/>
        <w:numPr>
          <w:ilvl w:val="0"/>
          <w:numId w:val="3"/>
        </w:numPr>
        <w:jc w:val="both"/>
        <w:rPr>
          <w:rFonts w:cs="Times New Roman"/>
          <w:sz w:val="22"/>
        </w:rPr>
      </w:pPr>
      <w:r w:rsidRPr="00C04E57">
        <w:rPr>
          <w:rFonts w:cs="Times New Roman"/>
          <w:sz w:val="22"/>
        </w:rPr>
        <w:t xml:space="preserve">di impegnarsi ai sensi dell'art. 47, comma 3, D.L. 77/2021 a consegnare alla stazione appaltante, entro 6 mesi dalla stipula del contratto: I) una dichiarazione di cui all’articolo 17 della legge 12 marzo 1999, n. 68, che attesti di essere in regola con le norme che disciplinano il diritto al lavoro dei disabili; Una relazione relativa all’assolvimento degli obblighi di cui alla medesima legge n. 68/1999 e alle eventuali sanzioni e provvedimenti disposti a loro carico nel triennio antecedente la data di scadenza di </w:t>
      </w:r>
      <w:r w:rsidRPr="00C04E57">
        <w:rPr>
          <w:rFonts w:cs="Times New Roman"/>
          <w:sz w:val="22"/>
        </w:rPr>
        <w:lastRenderedPageBreak/>
        <w:t>presentazione delle offerte. La relazione dovrà essere trasmessa entro il medesimo termine anche alle rappresentanze sindacali aziendali;</w:t>
      </w:r>
    </w:p>
    <w:p w14:paraId="176AAA86" w14:textId="6F8DF1C1" w:rsidR="00110898" w:rsidRPr="00C04E57" w:rsidRDefault="00110898" w:rsidP="00C04E57">
      <w:pPr>
        <w:pStyle w:val="Paragrafoelenco"/>
        <w:numPr>
          <w:ilvl w:val="0"/>
          <w:numId w:val="6"/>
        </w:numPr>
        <w:jc w:val="both"/>
        <w:rPr>
          <w:rFonts w:cs="Times New Roman"/>
          <w:i/>
          <w:iCs/>
          <w:sz w:val="22"/>
        </w:rPr>
      </w:pPr>
      <w:r w:rsidRPr="00C04E57">
        <w:rPr>
          <w:rFonts w:cs="Times New Roman"/>
          <w:sz w:val="22"/>
        </w:rPr>
        <w:t>di aver assolto gli obblighi di cui alla normativa contenuta nella legge 68/1999;</w:t>
      </w:r>
    </w:p>
    <w:p w14:paraId="6B7F7BA8" w14:textId="5E7A24D9" w:rsidR="00110898" w:rsidRPr="00C04E57" w:rsidRDefault="00110898" w:rsidP="00C04E57">
      <w:pPr>
        <w:pStyle w:val="Paragrafoelenco"/>
        <w:numPr>
          <w:ilvl w:val="0"/>
          <w:numId w:val="6"/>
        </w:numPr>
        <w:jc w:val="both"/>
        <w:rPr>
          <w:rFonts w:cs="Times New Roman"/>
          <w:sz w:val="22"/>
        </w:rPr>
      </w:pPr>
      <w:r w:rsidRPr="00C04E57">
        <w:rPr>
          <w:rFonts w:cs="Times New Roman"/>
          <w:sz w:val="22"/>
        </w:rPr>
        <w:t xml:space="preserve">di assicurare, in caso di aggiudicazione, il rispetto di quanto stabilito dall’art. 47, comma 4 del </w:t>
      </w:r>
      <w:r w:rsidR="00C04E57" w:rsidRPr="00C04E57">
        <w:rPr>
          <w:rFonts w:cs="Times New Roman"/>
          <w:sz w:val="22"/>
        </w:rPr>
        <w:t>Decreto-legge</w:t>
      </w:r>
      <w:r w:rsidRPr="00C04E57">
        <w:rPr>
          <w:rFonts w:cs="Times New Roman"/>
          <w:sz w:val="22"/>
        </w:rPr>
        <w:t xml:space="preserve"> 31 maggio 2021 n.77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p>
    <w:p w14:paraId="1C94EE94" w14:textId="49E60822" w:rsidR="00110898" w:rsidRDefault="00110898" w:rsidP="00C04E57">
      <w:pPr>
        <w:pStyle w:val="Paragrafoelenco"/>
        <w:numPr>
          <w:ilvl w:val="0"/>
          <w:numId w:val="6"/>
        </w:numPr>
        <w:jc w:val="both"/>
        <w:rPr>
          <w:rFonts w:cs="Times New Roman"/>
          <w:sz w:val="22"/>
        </w:rPr>
      </w:pPr>
      <w:r w:rsidRPr="00C55CB7">
        <w:rPr>
          <w:rFonts w:cs="Times New Roman"/>
          <w:sz w:val="22"/>
        </w:rPr>
        <w:t xml:space="preserve">di prendere atto che, ai sensi dell'art. 47, comma 6, D.L. 77/2021, è prevista l’applicazione delle penali </w:t>
      </w:r>
      <w:r w:rsidR="00C55CB7">
        <w:rPr>
          <w:rFonts w:cs="Times New Roman"/>
          <w:sz w:val="22"/>
        </w:rPr>
        <w:t>previste nel disciplinare di incarico</w:t>
      </w:r>
      <w:r w:rsidRPr="00C55CB7">
        <w:rPr>
          <w:rFonts w:cs="Times New Roman"/>
          <w:sz w:val="22"/>
        </w:rPr>
        <w:t>, anche nel caso di inadempimento agli obblighi di cui al comma 3, 3bis e 4 dell'art. 47, comma 3, D.L. 77/2021</w:t>
      </w:r>
      <w:r w:rsidR="00C55CB7">
        <w:rPr>
          <w:rFonts w:cs="Times New Roman"/>
          <w:sz w:val="22"/>
        </w:rPr>
        <w:t>.</w:t>
      </w:r>
    </w:p>
    <w:p w14:paraId="6BC46A0A" w14:textId="0A6FA59D" w:rsidR="00C55CB7" w:rsidRPr="00C55CB7" w:rsidRDefault="00C55CB7" w:rsidP="00C55CB7">
      <w:pPr>
        <w:pStyle w:val="Paragrafoelenco"/>
        <w:jc w:val="center"/>
        <w:rPr>
          <w:rFonts w:cs="Times New Roman"/>
          <w:sz w:val="22"/>
        </w:rPr>
      </w:pPr>
      <w:r>
        <w:rPr>
          <w:rFonts w:cs="Times New Roman"/>
          <w:sz w:val="22"/>
        </w:rPr>
        <w:t>***</w:t>
      </w:r>
    </w:p>
    <w:p w14:paraId="131BDBD7" w14:textId="77777777" w:rsidR="00C55CB7" w:rsidRPr="00C04E57" w:rsidRDefault="00C55CB7" w:rsidP="00C04E57">
      <w:pPr>
        <w:jc w:val="both"/>
        <w:rPr>
          <w:rFonts w:cs="Times New Roman"/>
          <w:sz w:val="22"/>
        </w:rPr>
      </w:pPr>
    </w:p>
    <w:p w14:paraId="5889C5C1" w14:textId="77777777" w:rsidR="00C55CB7" w:rsidRDefault="00C55CB7" w:rsidP="00C04E57">
      <w:pPr>
        <w:spacing w:line="240" w:lineRule="atLeast"/>
        <w:jc w:val="both"/>
        <w:rPr>
          <w:rFonts w:cs="Times New Roman"/>
          <w:bCs/>
          <w:i/>
          <w:sz w:val="22"/>
        </w:rPr>
      </w:pPr>
    </w:p>
    <w:p w14:paraId="6124ACBA" w14:textId="194F96E8" w:rsidR="00C55CB7" w:rsidRDefault="00C55CB7" w:rsidP="00C04E57">
      <w:pPr>
        <w:spacing w:line="240" w:lineRule="atLeast"/>
        <w:jc w:val="both"/>
        <w:rPr>
          <w:rFonts w:cs="Times New Roman"/>
          <w:bCs/>
          <w:i/>
          <w:sz w:val="22"/>
        </w:rPr>
      </w:pPr>
      <w:r>
        <w:rPr>
          <w:rFonts w:cs="Times New Roman"/>
          <w:bCs/>
          <w:i/>
          <w:sz w:val="22"/>
        </w:rPr>
        <w:t>Luogo e data</w:t>
      </w:r>
    </w:p>
    <w:p w14:paraId="32DF7AE7" w14:textId="19830DF7" w:rsidR="00C55CB7" w:rsidRDefault="00B90382" w:rsidP="001D7493">
      <w:pPr>
        <w:spacing w:line="240" w:lineRule="atLeast"/>
        <w:jc w:val="center"/>
        <w:rPr>
          <w:rFonts w:cs="Times New Roman"/>
          <w:bCs/>
          <w:i/>
          <w:sz w:val="22"/>
        </w:rPr>
      </w:pPr>
      <w:r>
        <w:rPr>
          <w:rFonts w:cs="Times New Roman"/>
          <w:bCs/>
          <w:i/>
          <w:sz w:val="22"/>
        </w:rPr>
        <w:t xml:space="preserve">                                                             </w:t>
      </w:r>
      <w:r w:rsidR="00C55CB7">
        <w:rPr>
          <w:rFonts w:cs="Times New Roman"/>
          <w:bCs/>
          <w:i/>
          <w:sz w:val="22"/>
        </w:rPr>
        <w:t xml:space="preserve">Firma </w:t>
      </w:r>
    </w:p>
    <w:p w14:paraId="66829987" w14:textId="77777777" w:rsidR="00C55CB7" w:rsidRDefault="00C55CB7" w:rsidP="00C55CB7">
      <w:pPr>
        <w:spacing w:line="240" w:lineRule="atLeast"/>
        <w:jc w:val="right"/>
        <w:rPr>
          <w:rFonts w:cs="Times New Roman"/>
          <w:bCs/>
          <w:i/>
          <w:sz w:val="22"/>
        </w:rPr>
      </w:pPr>
    </w:p>
    <w:p w14:paraId="67009CB6" w14:textId="77777777" w:rsidR="00B90382" w:rsidRDefault="00B90382" w:rsidP="00C04E57">
      <w:pPr>
        <w:spacing w:line="240" w:lineRule="atLeast"/>
        <w:jc w:val="both"/>
        <w:rPr>
          <w:rFonts w:cs="Times New Roman"/>
          <w:bCs/>
          <w:i/>
          <w:sz w:val="22"/>
        </w:rPr>
      </w:pPr>
    </w:p>
    <w:p w14:paraId="31D94007" w14:textId="4A48D42D" w:rsidR="00C04E57" w:rsidRPr="00C04E57" w:rsidRDefault="00C04E57" w:rsidP="00C04E57">
      <w:pPr>
        <w:spacing w:line="240" w:lineRule="atLeast"/>
        <w:jc w:val="both"/>
        <w:rPr>
          <w:rFonts w:cs="Times New Roman"/>
          <w:bCs/>
          <w:i/>
          <w:sz w:val="22"/>
          <w:vertAlign w:val="superscript"/>
        </w:rPr>
      </w:pPr>
      <w:r w:rsidRPr="00C04E57">
        <w:rPr>
          <w:rFonts w:cs="Times New Roman"/>
          <w:bCs/>
          <w:i/>
          <w:sz w:val="22"/>
        </w:rPr>
        <w:t>si allega copia scansionata d.i. del sottoscrittore</w:t>
      </w:r>
    </w:p>
    <w:p w14:paraId="0BA087CF" w14:textId="77777777" w:rsidR="00C04E57" w:rsidRPr="00C04E57" w:rsidRDefault="00C04E57" w:rsidP="00C04E57">
      <w:pPr>
        <w:spacing w:line="240" w:lineRule="atLeast"/>
        <w:jc w:val="both"/>
        <w:rPr>
          <w:rFonts w:cs="Times New Roman"/>
          <w:bCs/>
          <w:i/>
          <w:sz w:val="22"/>
          <w:vertAlign w:val="superscript"/>
        </w:rPr>
      </w:pPr>
    </w:p>
    <w:p w14:paraId="565B0684" w14:textId="77777777" w:rsidR="00C04E57" w:rsidRPr="00C04E57" w:rsidRDefault="00C04E57" w:rsidP="00C04E57">
      <w:pPr>
        <w:spacing w:line="240" w:lineRule="atLeast"/>
        <w:jc w:val="both"/>
        <w:rPr>
          <w:rFonts w:cs="Times New Roman"/>
          <w:i/>
          <w:sz w:val="22"/>
        </w:rPr>
      </w:pPr>
    </w:p>
    <w:p w14:paraId="56B5D1A6" w14:textId="1A136929" w:rsidR="00C04E57" w:rsidRPr="00C04E57" w:rsidRDefault="00C55CB7" w:rsidP="00C04E57">
      <w:pPr>
        <w:jc w:val="both"/>
        <w:rPr>
          <w:rFonts w:cs="Times New Roman"/>
          <w:bCs/>
          <w:i/>
          <w:iCs/>
          <w:sz w:val="22"/>
        </w:rPr>
      </w:pPr>
      <w:r>
        <w:rPr>
          <w:rFonts w:cs="Times New Roman"/>
          <w:bCs/>
          <w:i/>
          <w:iCs/>
          <w:sz w:val="22"/>
        </w:rPr>
        <w:t>L</w:t>
      </w:r>
      <w:r w:rsidR="006C3B3E">
        <w:rPr>
          <w:rFonts w:cs="Times New Roman"/>
          <w:bCs/>
          <w:i/>
          <w:iCs/>
          <w:sz w:val="22"/>
        </w:rPr>
        <w:t xml:space="preserve">’Ente </w:t>
      </w:r>
      <w:r w:rsidR="00C04E57" w:rsidRPr="00C04E57">
        <w:rPr>
          <w:rFonts w:cs="Times New Roman"/>
          <w:bCs/>
          <w:i/>
          <w:iCs/>
          <w:sz w:val="22"/>
        </w:rPr>
        <w:t xml:space="preserve"> si riserva la facoltà di verificare la veridicità delle informazioni contenute nella presente dichiarazione. </w:t>
      </w:r>
    </w:p>
    <w:p w14:paraId="1838BFA6" w14:textId="77777777" w:rsidR="00C04E57" w:rsidRPr="00C04E57" w:rsidRDefault="00C04E57" w:rsidP="00C04E57">
      <w:pPr>
        <w:jc w:val="both"/>
        <w:rPr>
          <w:rFonts w:cs="Times New Roman"/>
          <w:bCs/>
          <w:i/>
          <w:iCs/>
          <w:sz w:val="22"/>
        </w:rPr>
      </w:pPr>
    </w:p>
    <w:p w14:paraId="541CFDD3" w14:textId="1446EE0D" w:rsidR="00C04E57" w:rsidRPr="00C04E57" w:rsidRDefault="006C3B3E" w:rsidP="00C04E57">
      <w:pPr>
        <w:jc w:val="both"/>
        <w:rPr>
          <w:rFonts w:cs="Times New Roman"/>
          <w:bCs/>
          <w:i/>
          <w:iCs/>
          <w:sz w:val="22"/>
        </w:rPr>
      </w:pPr>
      <w:r>
        <w:rPr>
          <w:rFonts w:cs="Times New Roman"/>
          <w:bCs/>
          <w:i/>
          <w:iCs/>
          <w:sz w:val="22"/>
        </w:rPr>
        <w:t xml:space="preserve">Il Comune di Sciacca </w:t>
      </w:r>
      <w:r w:rsidR="00C04E57" w:rsidRPr="00C04E57">
        <w:rPr>
          <w:rFonts w:cs="Times New Roman"/>
          <w:bCs/>
          <w:i/>
          <w:iCs/>
          <w:sz w:val="22"/>
        </w:rPr>
        <w:t xml:space="preserve">informa, ai sensi e per gli effetti di cui al Regolamento UE n. 679/2016, che i dati conferiti con la presente dichiarazione sostitutiva saranno utilizzati in relazione al procedimento amministrativo per cui essi sono richiesti, nonché per gli </w:t>
      </w:r>
      <w:r w:rsidR="00C55CB7" w:rsidRPr="00C04E57">
        <w:rPr>
          <w:rFonts w:cs="Times New Roman"/>
          <w:bCs/>
          <w:i/>
          <w:iCs/>
          <w:sz w:val="22"/>
        </w:rPr>
        <w:t>adempimenti amministrativi</w:t>
      </w:r>
      <w:r w:rsidR="00C04E57" w:rsidRPr="00C04E57">
        <w:rPr>
          <w:rFonts w:cs="Times New Roman"/>
          <w:bCs/>
          <w:i/>
          <w:iCs/>
          <w:sz w:val="22"/>
        </w:rPr>
        <w:t xml:space="preserve"> ad esso conseguenti, ivi inclusa la pubblicazione dell’atto sul sito istituzionale.</w:t>
      </w:r>
    </w:p>
    <w:p w14:paraId="594E71D7" w14:textId="03827D5D" w:rsidR="00C04E57" w:rsidRPr="00C55CB7" w:rsidRDefault="00C04E57" w:rsidP="00C55CB7">
      <w:pPr>
        <w:spacing w:line="360" w:lineRule="auto"/>
        <w:jc w:val="center"/>
        <w:rPr>
          <w:rFonts w:cs="Times New Roman"/>
          <w:bCs/>
          <w:i/>
          <w:iCs/>
          <w:sz w:val="18"/>
          <w:szCs w:val="18"/>
        </w:rPr>
      </w:pPr>
      <w:r w:rsidRPr="00C55CB7">
        <w:rPr>
          <w:rFonts w:cs="Times New Roman"/>
          <w:bCs/>
          <w:i/>
          <w:iCs/>
          <w:sz w:val="22"/>
        </w:rPr>
        <w:br w:type="page"/>
      </w:r>
      <w:r w:rsidRPr="00C55CB7">
        <w:rPr>
          <w:rFonts w:cs="Times New Roman"/>
          <w:bCs/>
          <w:i/>
          <w:iCs/>
          <w:sz w:val="18"/>
          <w:szCs w:val="18"/>
        </w:rPr>
        <w:lastRenderedPageBreak/>
        <w:t>Normativa di riferimento</w:t>
      </w:r>
    </w:p>
    <w:p w14:paraId="02A96F12" w14:textId="77777777" w:rsidR="00C04E57" w:rsidRPr="00C55CB7" w:rsidRDefault="00C04E57" w:rsidP="00C55CB7">
      <w:pPr>
        <w:pStyle w:val="Corpotesto"/>
        <w:spacing w:after="0" w:line="360" w:lineRule="auto"/>
        <w:jc w:val="both"/>
        <w:rPr>
          <w:rFonts w:cs="Times New Roman"/>
          <w:b/>
          <w:i/>
          <w:iCs/>
          <w:sz w:val="18"/>
          <w:szCs w:val="18"/>
        </w:rPr>
      </w:pPr>
      <w:r w:rsidRPr="00C55CB7">
        <w:rPr>
          <w:rFonts w:cs="Times New Roman"/>
          <w:b/>
          <w:i/>
          <w:iCs/>
          <w:sz w:val="18"/>
          <w:szCs w:val="18"/>
        </w:rPr>
        <w:t>Art 47 del D.L. 77/2021 convertito con modificazioni dalla L. 108/2021 (Pari opportunità e inclusione lavorativa nei contratti pubblici, nel PNRR e nel PNC)</w:t>
      </w:r>
    </w:p>
    <w:p w14:paraId="34E4C13C"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1.  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nonché dal PNC, si applicano le disposizioni seguenti. (178)</w:t>
      </w:r>
    </w:p>
    <w:p w14:paraId="19983D12"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2.  Gli operatori economici tenuti alla redazione del rapporto sulla situazione del personale, ai sensi dell'articolo 46 del decreto legislativo 11 aprile 2006, n. 198, producono, a pena di esclusione,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3A3D73E9"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3.  Gli operatori economici, diversi da quelli indicati nel comma 2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trasmessa alle rappresentanze sindacali aziendali e alla consigliera e al consigliere regionale di parità.</w:t>
      </w:r>
    </w:p>
    <w:p w14:paraId="74DAF228"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3-bis.   Gli operatori economici di cui al comma 3 sono, altresì, tenuti a consegnare, nel termine previsto dal medesimo comma, alla stazione appaltante la certificazione di cui all’ articolo 17 della legge 12 marzo 1999, n. 68, e una relazione relativa all’assolvimento degli obblighi di cui alla medesima legge e alle eventuali sanzioni e provvedimenti disposti a loro carico nel triennio antecedente la data di scadenza di presentazione delle offerte. La relazione di cui al presente comma è trasmessa alle rappresentanze sindacali aziendali. (179)</w:t>
      </w:r>
    </w:p>
    <w:p w14:paraId="36523AAA"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4.  Le stazioni appaltanti prevedono, nei bandi di gara, negli avvisi e negli inviti, specifiche clausole dirette all'inserimento, come requisiti necessari e come ulteriori requisiti premiali dell’offerta, di criteri orientati a promuovere l'imprenditoria giovanile, l’inclusione lavorativa delle persone disabili, la parità di genere e l'assunzione di giovani, con età inferiore a trentasei anni, e donne. Il contenuto delle clausole è determinato tenendo, tra l'altro, conto dei principi di libera concorrenza, proporzionalità e non discriminazione, nonché dell'oggetto del contratto, della tipologia e della natura del singolo progetto in relazione ai profili occupazionali richiesti, dei principi dell'Unione europea, degli indicatori degli obiettivi attesi in termini di occupazione femminile e giovanile e di tasso di occupazione delle persone disabili al 2026, anche in considerazione dei corrispondenti valori medi nonché dei corrispondenti indicatori medi settoriali europei in cui vengono svolti i progetti. Fermo restando quanto previsto al comma 7, è requisito necessario dell'offerta l’aver assolto, al momento della presentazione dell’offerta stessa, agli obblighi di cui alla legge 12 marzo 1999, n. 68, e l'assunzione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(178)</w:t>
      </w:r>
    </w:p>
    <w:p w14:paraId="4822A302"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5.  Ulteriori misure premiali possono prevedere l'assegnazione di un punteggio aggiuntivo all'offerente o al candidato che:</w:t>
      </w:r>
    </w:p>
    <w:p w14:paraId="73D44CDB"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a)  nei tre anni antecedenti la data di scadenza del termine di presentazione delle offerte, non risulti destinatario di accertamenti relativi ad atti o comportamenti discriminatori ai sensi dell'articolo 44 del decreto legislativo 25 luglio 1998, n. 286, dell'articolo 4 del decreto legislativo 9 luglio 2003, n. 215, dell'articolo 4 del decreto legislativo 9 luglio 2003, n. 216, dell’ articolo 3 della legge 1° marzo 2006, n. 67, degli articoli 35 e 55-quinquies del decreto legislativo 11 aprile 2006, n. 198, ovvero dell'articolo 54 del decreto legislativo 26 marzo 2001, n. 151; (180)</w:t>
      </w:r>
    </w:p>
    <w:p w14:paraId="32955230"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b)  utilizzi o si impegni a utilizzare specifici strumenti di conciliazione delle esigenze di cura, di vita e di lavoro per i propri dipendenti, nonché modalità innovative di organizzazione del lavoro;</w:t>
      </w:r>
    </w:p>
    <w:p w14:paraId="257ED32E" w14:textId="64BBD641"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lastRenderedPageBreak/>
        <w:t xml:space="preserve">c)  si impegni ad assumere, oltre alla soglia minima percentuale prevista come requisito di partecipazione, persone disabili, giovani, con età inferiore a trentasei anni, e donne per l'esecuzione del contratto o per la realizzazione di attività ad esso connesse o </w:t>
      </w:r>
      <w:r w:rsidR="00C55CB7" w:rsidRPr="00C55CB7">
        <w:rPr>
          <w:rFonts w:cs="Times New Roman"/>
          <w:i/>
          <w:iCs/>
          <w:sz w:val="18"/>
          <w:szCs w:val="18"/>
        </w:rPr>
        <w:t>strumentali</w:t>
      </w:r>
      <w:r w:rsidRPr="00C55CB7">
        <w:rPr>
          <w:rFonts w:cs="Times New Roman"/>
          <w:i/>
          <w:iCs/>
          <w:sz w:val="18"/>
          <w:szCs w:val="18"/>
        </w:rPr>
        <w:t xml:space="preserve"> (180)</w:t>
      </w:r>
    </w:p>
    <w:p w14:paraId="0D785A17"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d)  abbia, nell'ultimo triennio, rispettato i principi della parità di genere e adottato specifiche misure per promuovere le pari opportunità generazionali e di genere, anche tenendo conto del rapporto tra uomini e donne nelle assunzioni, nei livelli retributivi e nel conferimento di incarichi apicali;</w:t>
      </w:r>
    </w:p>
    <w:p w14:paraId="5D24D7AE"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d-bis)   abbia, nell’ultimo triennio, rispettato gli obblighi di cui alla legge 12 marzo 1999, n. 68; (181)</w:t>
      </w:r>
    </w:p>
    <w:p w14:paraId="6973184F"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e)  abbia presentato o si impegni a presentare per ciascuno degli esercizi finanziari, ricompresi nella durata del contratto di appalto, una dichiarazione volontaria di carattere non finanziario ai sensi dell'articolo 7 del decreto legislativo 30 dicembre 2016, n. 254.</w:t>
      </w:r>
    </w:p>
    <w:p w14:paraId="4A7A3A5B"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6.  I contratti di appalto prevedono l'applicazione di penali per l'inadempimento dell'appaltatore agli obblighi di cui al comma 3, al comma 3-bis ovvero al comma 4, commisurate alla gravità della violazione e proporzionali rispetto all'importo del contratto o alle prestazioni del contratto, nel rispetto dell'importo complessivo previsto dall'articolo 51 del presente decreto. La violazione dell'obbligo di cui al comma 3 determina, altresì, l'impossibilità per l'operatore economico di partecipare, in forma singola ovvero in raggruppamento temporaneo, per un periodo di dodici mesi ad ulteriori procedure di affidamento afferenti agli investimenti pubblici finanziati, in tutto o in parte, con le risorse di cui al comma 1. (178)</w:t>
      </w:r>
    </w:p>
    <w:p w14:paraId="5DF76B1F"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7.  Le stazioni appaltanti possono escludere l'inserimento nei bandi di gara, negli avvisi e negli inviti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(178)</w:t>
      </w:r>
    </w:p>
    <w:p w14:paraId="5489E370" w14:textId="77777777" w:rsidR="00C04E57" w:rsidRPr="00C55CB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8.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con il Ministro del lavoro e delle politiche sociali e con il Ministro per le disabilità, da adottarsi entro sessanta giorni dall'entrata in vigore del presente decreto, sono definiti le modalità e i criteri applicativi delle misure previste dal presente articolo, indicate misure premiali e predisposti modelli di clausole da inserire nei bandi di gara differenziati per settore, tipologia e natura del contratto o del progetto. (178) (182)</w:t>
      </w:r>
    </w:p>
    <w:p w14:paraId="48E71C86" w14:textId="77777777" w:rsidR="00C04E57" w:rsidRDefault="00C04E57" w:rsidP="00C55CB7">
      <w:pPr>
        <w:pStyle w:val="Corpotesto"/>
        <w:spacing w:after="0" w:line="360" w:lineRule="auto"/>
        <w:jc w:val="both"/>
        <w:rPr>
          <w:rFonts w:cs="Times New Roman"/>
          <w:i/>
          <w:iCs/>
          <w:sz w:val="18"/>
          <w:szCs w:val="18"/>
        </w:rPr>
      </w:pPr>
      <w:r w:rsidRPr="00C55CB7">
        <w:rPr>
          <w:rFonts w:cs="Times New Roman"/>
          <w:i/>
          <w:iCs/>
          <w:sz w:val="18"/>
          <w:szCs w:val="18"/>
        </w:rPr>
        <w:t>9.  I rapporti e le relazioni previste dai commi 2, 3 e 3-bis sono pubblicati sul profilo del committente, nella sezione “Amministrazione trasparente”, ai sensi dell'articolo 29 del decreto legislativo 18 aprile 2016, n. 50, e comunicati alla Presidenza del consiglio dei ministri ovvero ai Ministri o alle autorità delegati per le pari opportunità e della famiglia e per le politiche giovanili e il servizio civile universale. (178)</w:t>
      </w:r>
    </w:p>
    <w:p w14:paraId="28ED4E76" w14:textId="77777777" w:rsidR="00C55CB7" w:rsidRDefault="00C55CB7" w:rsidP="00C55CB7">
      <w:pPr>
        <w:pStyle w:val="Corpotesto"/>
        <w:spacing w:after="0" w:line="360" w:lineRule="auto"/>
        <w:jc w:val="both"/>
        <w:rPr>
          <w:rFonts w:cs="Times New Roman"/>
          <w:i/>
          <w:iCs/>
          <w:sz w:val="18"/>
          <w:szCs w:val="18"/>
        </w:rPr>
      </w:pPr>
    </w:p>
    <w:sectPr w:rsidR="00C55CB7" w:rsidSect="007F291D">
      <w:headerReference w:type="default" r:id="rId10"/>
      <w:pgSz w:w="11906" w:h="16838"/>
      <w:pgMar w:top="1815"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97D60" w14:textId="77777777" w:rsidR="00840291" w:rsidRDefault="00840291" w:rsidP="004C6282">
      <w:pPr>
        <w:spacing w:line="240" w:lineRule="auto"/>
      </w:pPr>
      <w:r>
        <w:separator/>
      </w:r>
    </w:p>
  </w:endnote>
  <w:endnote w:type="continuationSeparator" w:id="0">
    <w:p w14:paraId="07F2B92C" w14:textId="77777777" w:rsidR="00840291" w:rsidRDefault="00840291" w:rsidP="004C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F25A6" w14:textId="77777777" w:rsidR="00840291" w:rsidRDefault="00840291" w:rsidP="004C6282">
      <w:pPr>
        <w:spacing w:line="240" w:lineRule="auto"/>
      </w:pPr>
      <w:r>
        <w:separator/>
      </w:r>
    </w:p>
  </w:footnote>
  <w:footnote w:type="continuationSeparator" w:id="0">
    <w:p w14:paraId="281F4E26" w14:textId="77777777" w:rsidR="00840291" w:rsidRDefault="00840291" w:rsidP="004C6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A0E7B" w14:textId="701DB3CB" w:rsidR="00865556" w:rsidRDefault="006C3B3E">
    <w:pPr>
      <w:pStyle w:val="Intestazione"/>
    </w:pPr>
    <w:r w:rsidRPr="00865556">
      <w:rPr>
        <w:rFonts w:ascii="Calibri" w:eastAsia="Calibri" w:hAnsi="Calibri" w:cs="Times New Roman"/>
        <w:noProof/>
        <w:kern w:val="0"/>
        <w:sz w:val="22"/>
        <w14:ligatures w14:val="none"/>
      </w:rPr>
      <w:drawing>
        <wp:anchor distT="0" distB="0" distL="114300" distR="114300" simplePos="0" relativeHeight="251661312" behindDoc="0" locked="0" layoutInCell="1" allowOverlap="1" wp14:anchorId="3F572E34" wp14:editId="43FC9662">
          <wp:simplePos x="0" y="0"/>
          <wp:positionH relativeFrom="column">
            <wp:posOffset>2481580</wp:posOffset>
          </wp:positionH>
          <wp:positionV relativeFrom="page">
            <wp:posOffset>461010</wp:posOffset>
          </wp:positionV>
          <wp:extent cx="4181475" cy="389276"/>
          <wp:effectExtent l="0" t="0" r="0" b="0"/>
          <wp:wrapNone/>
          <wp:docPr id="12457209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2092" name="Immagine 124572092"/>
                  <pic:cNvPicPr/>
                </pic:nvPicPr>
                <pic:blipFill>
                  <a:blip r:embed="rId1">
                    <a:extLst>
                      <a:ext uri="{28A0092B-C50C-407E-A947-70E740481C1C}">
                        <a14:useLocalDpi xmlns:a14="http://schemas.microsoft.com/office/drawing/2010/main" val="0"/>
                      </a:ext>
                    </a:extLst>
                  </a:blip>
                  <a:stretch>
                    <a:fillRect/>
                  </a:stretch>
                </pic:blipFill>
                <pic:spPr>
                  <a:xfrm>
                    <a:off x="0" y="0"/>
                    <a:ext cx="4181475" cy="3892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A7D529" wp14:editId="018C7367">
          <wp:extent cx="621665" cy="615950"/>
          <wp:effectExtent l="0" t="0" r="6985" b="0"/>
          <wp:docPr id="6117051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inline>
      </w:drawing>
    </w:r>
    <w:r>
      <w:rPr>
        <w:noProof/>
      </w:rPr>
      <w:drawing>
        <wp:inline distT="0" distB="0" distL="0" distR="0" wp14:anchorId="44DE6ABD" wp14:editId="44FC351C">
          <wp:extent cx="1852930" cy="469265"/>
          <wp:effectExtent l="0" t="0" r="0" b="6985"/>
          <wp:docPr id="2086506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061" name="Immagin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2930"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B3C3A"/>
    <w:multiLevelType w:val="hybridMultilevel"/>
    <w:tmpl w:val="8AC64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371739"/>
    <w:multiLevelType w:val="hybridMultilevel"/>
    <w:tmpl w:val="4F7CD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482811"/>
    <w:multiLevelType w:val="hybridMultilevel"/>
    <w:tmpl w:val="97845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9F597A"/>
    <w:multiLevelType w:val="hybridMultilevel"/>
    <w:tmpl w:val="4C96752E"/>
    <w:lvl w:ilvl="0" w:tplc="D9DECFF2">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2F6E24"/>
    <w:multiLevelType w:val="hybridMultilevel"/>
    <w:tmpl w:val="4FB680AE"/>
    <w:lvl w:ilvl="0" w:tplc="120EE2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7FE5DBE">
      <w:start w:val="1"/>
      <w:numFmt w:val="bullet"/>
      <w:lvlText w:val="-"/>
      <w:lvlJc w:val="left"/>
      <w:pPr>
        <w:ind w:left="2160" w:hanging="360"/>
      </w:pPr>
      <w:rPr>
        <w:rFonts w:ascii="Times New Roman" w:eastAsiaTheme="minorHAnsi" w:hAnsi="Times New Roman" w:cs="Times New Roman" w:hint="default"/>
      </w:rPr>
    </w:lvl>
    <w:lvl w:ilvl="3" w:tplc="BEE4D992">
      <w:start w:val="1"/>
      <w:numFmt w:val="bullet"/>
      <w:lvlText w:val="•"/>
      <w:lvlJc w:val="left"/>
      <w:pPr>
        <w:ind w:left="2880" w:hanging="360"/>
      </w:pPr>
      <w:rPr>
        <w:rFonts w:ascii="Times New Roman" w:eastAsiaTheme="minorHAnsi"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4B462A"/>
    <w:multiLevelType w:val="hybridMultilevel"/>
    <w:tmpl w:val="632A9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1155BA"/>
    <w:multiLevelType w:val="hybridMultilevel"/>
    <w:tmpl w:val="F168C392"/>
    <w:lvl w:ilvl="0" w:tplc="120EE2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C13CCB"/>
    <w:multiLevelType w:val="hybridMultilevel"/>
    <w:tmpl w:val="FF843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DE1C98"/>
    <w:multiLevelType w:val="hybridMultilevel"/>
    <w:tmpl w:val="371206B6"/>
    <w:lvl w:ilvl="0" w:tplc="120EE2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220003F"/>
    <w:multiLevelType w:val="hybridMultilevel"/>
    <w:tmpl w:val="43E64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8D6B48"/>
    <w:multiLevelType w:val="hybridMultilevel"/>
    <w:tmpl w:val="6CB254EA"/>
    <w:lvl w:ilvl="0" w:tplc="04100017">
      <w:start w:val="1"/>
      <w:numFmt w:val="lowerLetter"/>
      <w:lvlText w:val="%1)"/>
      <w:lvlJc w:val="left"/>
      <w:pPr>
        <w:tabs>
          <w:tab w:val="num" w:pos="360"/>
        </w:tabs>
        <w:ind w:left="360" w:hanging="360"/>
      </w:pPr>
      <w:rPr>
        <w:rFonts w:cs="Times New Roman" w:hint="default"/>
        <w:effect w:val="none"/>
      </w:rPr>
    </w:lvl>
    <w:lvl w:ilvl="1" w:tplc="14B6ECFC">
      <w:start w:val="1"/>
      <w:numFmt w:val="decimal"/>
      <w:lvlText w:val="%2."/>
      <w:lvlJc w:val="left"/>
      <w:pPr>
        <w:tabs>
          <w:tab w:val="num" w:pos="1440"/>
        </w:tabs>
        <w:ind w:left="1440" w:hanging="360"/>
      </w:pPr>
      <w:rPr>
        <w:rFonts w:cs="Times New Roman" w:hint="default"/>
        <w:b/>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F2147A"/>
    <w:multiLevelType w:val="hybridMultilevel"/>
    <w:tmpl w:val="98C08AF8"/>
    <w:lvl w:ilvl="0" w:tplc="120EE2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4A62CD"/>
    <w:multiLevelType w:val="hybridMultilevel"/>
    <w:tmpl w:val="52AE5174"/>
    <w:lvl w:ilvl="0" w:tplc="68DE76EA">
      <w:start w:val="1"/>
      <w:numFmt w:val="upperLetter"/>
      <w:lvlText w:val="%1)"/>
      <w:lvlJc w:val="left"/>
      <w:pPr>
        <w:ind w:left="474" w:hanging="310"/>
      </w:pPr>
      <w:rPr>
        <w:rFonts w:ascii="Times New Roman" w:eastAsia="Times New Roman" w:hAnsi="Times New Roman" w:cs="Times New Roman" w:hint="default"/>
        <w:b/>
        <w:bCs/>
        <w:spacing w:val="-1"/>
        <w:w w:val="100"/>
        <w:sz w:val="22"/>
        <w:szCs w:val="22"/>
        <w:lang w:val="it-IT" w:eastAsia="en-US" w:bidi="ar-SA"/>
      </w:rPr>
    </w:lvl>
    <w:lvl w:ilvl="1" w:tplc="4F142780">
      <w:numFmt w:val="bullet"/>
      <w:lvlText w:val="•"/>
      <w:lvlJc w:val="left"/>
      <w:pPr>
        <w:ind w:left="1514" w:hanging="310"/>
      </w:pPr>
      <w:rPr>
        <w:rFonts w:hint="default"/>
        <w:lang w:val="it-IT" w:eastAsia="en-US" w:bidi="ar-SA"/>
      </w:rPr>
    </w:lvl>
    <w:lvl w:ilvl="2" w:tplc="D450B794">
      <w:numFmt w:val="bullet"/>
      <w:lvlText w:val="•"/>
      <w:lvlJc w:val="left"/>
      <w:pPr>
        <w:ind w:left="2549" w:hanging="310"/>
      </w:pPr>
      <w:rPr>
        <w:rFonts w:hint="default"/>
        <w:lang w:val="it-IT" w:eastAsia="en-US" w:bidi="ar-SA"/>
      </w:rPr>
    </w:lvl>
    <w:lvl w:ilvl="3" w:tplc="32E4BDC2">
      <w:numFmt w:val="bullet"/>
      <w:lvlText w:val="•"/>
      <w:lvlJc w:val="left"/>
      <w:pPr>
        <w:ind w:left="3583" w:hanging="310"/>
      </w:pPr>
      <w:rPr>
        <w:rFonts w:hint="default"/>
        <w:lang w:val="it-IT" w:eastAsia="en-US" w:bidi="ar-SA"/>
      </w:rPr>
    </w:lvl>
    <w:lvl w:ilvl="4" w:tplc="6F5E057C">
      <w:numFmt w:val="bullet"/>
      <w:lvlText w:val="•"/>
      <w:lvlJc w:val="left"/>
      <w:pPr>
        <w:ind w:left="4618" w:hanging="310"/>
      </w:pPr>
      <w:rPr>
        <w:rFonts w:hint="default"/>
        <w:lang w:val="it-IT" w:eastAsia="en-US" w:bidi="ar-SA"/>
      </w:rPr>
    </w:lvl>
    <w:lvl w:ilvl="5" w:tplc="A0F0873C">
      <w:numFmt w:val="bullet"/>
      <w:lvlText w:val="•"/>
      <w:lvlJc w:val="left"/>
      <w:pPr>
        <w:ind w:left="5653" w:hanging="310"/>
      </w:pPr>
      <w:rPr>
        <w:rFonts w:hint="default"/>
        <w:lang w:val="it-IT" w:eastAsia="en-US" w:bidi="ar-SA"/>
      </w:rPr>
    </w:lvl>
    <w:lvl w:ilvl="6" w:tplc="8D7898F2">
      <w:numFmt w:val="bullet"/>
      <w:lvlText w:val="•"/>
      <w:lvlJc w:val="left"/>
      <w:pPr>
        <w:ind w:left="6687" w:hanging="310"/>
      </w:pPr>
      <w:rPr>
        <w:rFonts w:hint="default"/>
        <w:lang w:val="it-IT" w:eastAsia="en-US" w:bidi="ar-SA"/>
      </w:rPr>
    </w:lvl>
    <w:lvl w:ilvl="7" w:tplc="1A8A85BC">
      <w:numFmt w:val="bullet"/>
      <w:lvlText w:val="•"/>
      <w:lvlJc w:val="left"/>
      <w:pPr>
        <w:ind w:left="7722" w:hanging="310"/>
      </w:pPr>
      <w:rPr>
        <w:rFonts w:hint="default"/>
        <w:lang w:val="it-IT" w:eastAsia="en-US" w:bidi="ar-SA"/>
      </w:rPr>
    </w:lvl>
    <w:lvl w:ilvl="8" w:tplc="1946DD34">
      <w:numFmt w:val="bullet"/>
      <w:lvlText w:val="•"/>
      <w:lvlJc w:val="left"/>
      <w:pPr>
        <w:ind w:left="8756" w:hanging="310"/>
      </w:pPr>
      <w:rPr>
        <w:rFonts w:hint="default"/>
        <w:lang w:val="it-IT" w:eastAsia="en-US" w:bidi="ar-SA"/>
      </w:rPr>
    </w:lvl>
  </w:abstractNum>
  <w:num w:numId="1" w16cid:durableId="219294225">
    <w:abstractNumId w:val="11"/>
  </w:num>
  <w:num w:numId="2" w16cid:durableId="977878684">
    <w:abstractNumId w:val="7"/>
  </w:num>
  <w:num w:numId="3" w16cid:durableId="400174085">
    <w:abstractNumId w:val="4"/>
  </w:num>
  <w:num w:numId="4" w16cid:durableId="1346444695">
    <w:abstractNumId w:val="10"/>
  </w:num>
  <w:num w:numId="5" w16cid:durableId="166094496">
    <w:abstractNumId w:val="9"/>
  </w:num>
  <w:num w:numId="6" w16cid:durableId="548153505">
    <w:abstractNumId w:val="3"/>
  </w:num>
  <w:num w:numId="7" w16cid:durableId="1762950360">
    <w:abstractNumId w:val="0"/>
  </w:num>
  <w:num w:numId="8" w16cid:durableId="1816870358">
    <w:abstractNumId w:val="1"/>
  </w:num>
  <w:num w:numId="9" w16cid:durableId="1126268140">
    <w:abstractNumId w:val="8"/>
  </w:num>
  <w:num w:numId="10" w16cid:durableId="1013386784">
    <w:abstractNumId w:val="5"/>
  </w:num>
  <w:num w:numId="11" w16cid:durableId="705789460">
    <w:abstractNumId w:val="6"/>
  </w:num>
  <w:num w:numId="12" w16cid:durableId="468329683">
    <w:abstractNumId w:val="2"/>
  </w:num>
  <w:num w:numId="13" w16cid:durableId="1804881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FC"/>
    <w:rsid w:val="000F409D"/>
    <w:rsid w:val="00110898"/>
    <w:rsid w:val="00197D79"/>
    <w:rsid w:val="001D7493"/>
    <w:rsid w:val="004C6282"/>
    <w:rsid w:val="004F24FC"/>
    <w:rsid w:val="00690A45"/>
    <w:rsid w:val="006C3B3E"/>
    <w:rsid w:val="007A5C6A"/>
    <w:rsid w:val="007F291D"/>
    <w:rsid w:val="00840291"/>
    <w:rsid w:val="00865556"/>
    <w:rsid w:val="008A0FEB"/>
    <w:rsid w:val="00966EBB"/>
    <w:rsid w:val="009F08F7"/>
    <w:rsid w:val="00A331AA"/>
    <w:rsid w:val="00B16390"/>
    <w:rsid w:val="00B90382"/>
    <w:rsid w:val="00C04E57"/>
    <w:rsid w:val="00C55CB7"/>
    <w:rsid w:val="00C65011"/>
    <w:rsid w:val="00E10DAA"/>
    <w:rsid w:val="00E24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2163"/>
  <w15:chartTrackingRefBased/>
  <w15:docId w15:val="{03A323D4-DEAC-4E13-BD75-74CCCED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it-IT" w:eastAsia="en-US" w:bidi="ar-SA"/>
        <w14:ligatures w14:val="standardContextual"/>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08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628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C6282"/>
  </w:style>
  <w:style w:type="paragraph" w:styleId="Pidipagina">
    <w:name w:val="footer"/>
    <w:basedOn w:val="Normale"/>
    <w:link w:val="PidipaginaCarattere"/>
    <w:uiPriority w:val="99"/>
    <w:unhideWhenUsed/>
    <w:rsid w:val="004C628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C6282"/>
  </w:style>
  <w:style w:type="paragraph" w:styleId="Paragrafoelenco">
    <w:name w:val="List Paragraph"/>
    <w:basedOn w:val="Normale"/>
    <w:uiPriority w:val="34"/>
    <w:qFormat/>
    <w:rsid w:val="004C6282"/>
    <w:pPr>
      <w:ind w:left="720"/>
      <w:contextualSpacing/>
    </w:pPr>
  </w:style>
  <w:style w:type="paragraph" w:styleId="Rientrocorpodeltesto2">
    <w:name w:val="Body Text Indent 2"/>
    <w:basedOn w:val="Normale"/>
    <w:link w:val="Rientrocorpodeltesto2Carattere"/>
    <w:rsid w:val="004C6282"/>
    <w:pPr>
      <w:spacing w:after="120" w:line="480" w:lineRule="auto"/>
      <w:ind w:left="283"/>
    </w:pPr>
    <w:rPr>
      <w:rFonts w:eastAsia="Times New Roman" w:cs="Times New Roman"/>
      <w:kern w:val="0"/>
      <w:sz w:val="20"/>
      <w:szCs w:val="20"/>
      <w:lang w:eastAsia="it-IT"/>
      <w14:ligatures w14:val="none"/>
    </w:rPr>
  </w:style>
  <w:style w:type="character" w:customStyle="1" w:styleId="Rientrocorpodeltesto2Carattere">
    <w:name w:val="Rientro corpo del testo 2 Carattere"/>
    <w:basedOn w:val="Carpredefinitoparagrafo"/>
    <w:link w:val="Rientrocorpodeltesto2"/>
    <w:rsid w:val="004C6282"/>
    <w:rPr>
      <w:rFonts w:eastAsia="Times New Roman" w:cs="Times New Roman"/>
      <w:kern w:val="0"/>
      <w:sz w:val="20"/>
      <w:szCs w:val="20"/>
      <w:lang w:eastAsia="it-IT"/>
      <w14:ligatures w14:val="none"/>
    </w:rPr>
  </w:style>
  <w:style w:type="paragraph" w:styleId="Testonotadichiusura">
    <w:name w:val="endnote text"/>
    <w:basedOn w:val="Normale"/>
    <w:link w:val="TestonotadichiusuraCarattere"/>
    <w:uiPriority w:val="99"/>
    <w:unhideWhenUsed/>
    <w:rsid w:val="00110898"/>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110898"/>
    <w:rPr>
      <w:sz w:val="20"/>
      <w:szCs w:val="20"/>
    </w:rPr>
  </w:style>
  <w:style w:type="paragraph" w:customStyle="1" w:styleId="Default">
    <w:name w:val="Default"/>
    <w:rsid w:val="00110898"/>
    <w:pPr>
      <w:suppressAutoHyphens/>
      <w:autoSpaceDE w:val="0"/>
      <w:spacing w:line="240" w:lineRule="auto"/>
    </w:pPr>
    <w:rPr>
      <w:rFonts w:ascii="Verdana" w:eastAsia="Times New Roman" w:hAnsi="Verdana" w:cs="Verdana"/>
      <w:color w:val="000000"/>
      <w:kern w:val="0"/>
      <w:szCs w:val="24"/>
      <w:lang w:eastAsia="ar-SA"/>
      <w14:ligatures w14:val="none"/>
    </w:rPr>
  </w:style>
  <w:style w:type="character" w:styleId="Rimandonotadichiusura">
    <w:name w:val="endnote reference"/>
    <w:uiPriority w:val="99"/>
    <w:rsid w:val="00C04E57"/>
    <w:rPr>
      <w:rFonts w:cs="Times New Roman"/>
      <w:vertAlign w:val="superscript"/>
    </w:rPr>
  </w:style>
  <w:style w:type="paragraph" w:styleId="Corpotesto">
    <w:name w:val="Body Text"/>
    <w:basedOn w:val="Normale"/>
    <w:link w:val="CorpotestoCarattere"/>
    <w:uiPriority w:val="99"/>
    <w:semiHidden/>
    <w:unhideWhenUsed/>
    <w:rsid w:val="00C04E57"/>
    <w:pPr>
      <w:spacing w:after="120"/>
    </w:pPr>
  </w:style>
  <w:style w:type="character" w:customStyle="1" w:styleId="CorpotestoCarattere">
    <w:name w:val="Corpo testo Carattere"/>
    <w:basedOn w:val="Carpredefinitoparagrafo"/>
    <w:link w:val="Corpotesto"/>
    <w:uiPriority w:val="99"/>
    <w:semiHidden/>
    <w:rsid w:val="00C04E57"/>
  </w:style>
  <w:style w:type="paragraph" w:customStyle="1" w:styleId="Standard">
    <w:name w:val="Standard"/>
    <w:rsid w:val="000F409D"/>
    <w:pPr>
      <w:widowControl w:val="0"/>
      <w:suppressAutoHyphens/>
      <w:autoSpaceDN w:val="0"/>
      <w:spacing w:line="240" w:lineRule="auto"/>
      <w:textAlignment w:val="baseline"/>
    </w:pPr>
    <w:rPr>
      <w:rFonts w:eastAsia="SimSun, 宋体" w:cs="Times New Roman"/>
      <w:kern w:val="3"/>
      <w:szCs w:val="24"/>
      <w:lang w:eastAsia="zh-CN" w:bidi="hi-IN"/>
      <w14:ligatures w14:val="none"/>
    </w:rPr>
  </w:style>
  <w:style w:type="paragraph" w:customStyle="1" w:styleId="TableContents">
    <w:name w:val="Table Contents"/>
    <w:basedOn w:val="Standard"/>
    <w:rsid w:val="000F40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C47D10745A9A43973F63F2DE073D1F" ma:contentTypeVersion="16" ma:contentTypeDescription="Creare un nuovo documento." ma:contentTypeScope="" ma:versionID="162ae060b47a8d59fc6547ca1151d62b">
  <xsd:schema xmlns:xsd="http://www.w3.org/2001/XMLSchema" xmlns:xs="http://www.w3.org/2001/XMLSchema" xmlns:p="http://schemas.microsoft.com/office/2006/metadata/properties" xmlns:ns2="f58e7256-292c-46f9-9977-61c9afbaade0" xmlns:ns3="e2c1fb17-333d-4363-bd2e-6e2a2499eef5" targetNamespace="http://schemas.microsoft.com/office/2006/metadata/properties" ma:root="true" ma:fieldsID="f6a97a5143b0a7b9d82dfc877a34d403" ns2:_="" ns3:_="">
    <xsd:import namespace="f58e7256-292c-46f9-9977-61c9afbaade0"/>
    <xsd:import namespace="e2c1fb17-333d-4363-bd2e-6e2a2499e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e7256-292c-46f9-9977-61c9afbaa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1a2915f-34f0-4a43-9cf3-e1fdd148c0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1fb17-333d-4363-bd2e-6e2a2499eef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311ffc6b-8241-441e-a72e-c1aeb6ee5146}" ma:internalName="TaxCatchAll" ma:showField="CatchAllData" ma:web="e2c1fb17-333d-4363-bd2e-6e2a2499e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c1fb17-333d-4363-bd2e-6e2a2499eef5" xsi:nil="true"/>
    <lcf76f155ced4ddcb4097134ff3c332f xmlns="f58e7256-292c-46f9-9977-61c9afbaad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69961-3CEA-4198-A816-182AEBFF6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e7256-292c-46f9-9977-61c9afbaade0"/>
    <ds:schemaRef ds:uri="e2c1fb17-333d-4363-bd2e-6e2a2499e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4E336-624D-4C87-ABBB-03439F567362}">
  <ds:schemaRefs>
    <ds:schemaRef ds:uri="http://schemas.microsoft.com/office/2006/metadata/properties"/>
    <ds:schemaRef ds:uri="http://schemas.microsoft.com/office/infopath/2007/PartnerControls"/>
    <ds:schemaRef ds:uri="e2c1fb17-333d-4363-bd2e-6e2a2499eef5"/>
    <ds:schemaRef ds:uri="f58e7256-292c-46f9-9977-61c9afbaade0"/>
  </ds:schemaRefs>
</ds:datastoreItem>
</file>

<file path=customXml/itemProps3.xml><?xml version="1.0" encoding="utf-8"?>
<ds:datastoreItem xmlns:ds="http://schemas.openxmlformats.org/officeDocument/2006/customXml" ds:itemID="{AEE57196-9DBA-47DC-8207-EA2C8B75E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12500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Mura</dc:creator>
  <cp:keywords/>
  <dc:description/>
  <cp:lastModifiedBy>Utente</cp:lastModifiedBy>
  <cp:revision>2</cp:revision>
  <dcterms:created xsi:type="dcterms:W3CDTF">2024-05-22T09:07:00Z</dcterms:created>
  <dcterms:modified xsi:type="dcterms:W3CDTF">2024-05-22T09:07:00Z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0x0101006BC47D10745A9A43973F63F2DE073D1F</vt:lpwstr>
  </property>
</Properties>
</file>